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720"/>
          <w:tab w:val="left" w:leader="none" w:pos="6345"/>
        </w:tabs>
        <w:spacing w:after="20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0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140"/>
        <w:gridCol w:w="4820"/>
        <w:tblGridChange w:id="0">
          <w:tblGrid>
            <w:gridCol w:w="4140"/>
            <w:gridCol w:w="482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15 de diciembre de 2023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Nombre/ 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QUIMISER S.A.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Código de Calificación: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09-1925-L</w:t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720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CAMBIOS A SOLICITAR</w:t>
      </w:r>
    </w:p>
    <w:p w:rsidR="00000000" w:rsidDel="00000000" w:rsidP="00000000" w:rsidRDefault="00000000" w:rsidRPr="00000000" w14:paraId="0000000A">
      <w:pPr>
        <w:tabs>
          <w:tab w:val="left" w:leader="none" w:pos="-720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1774.9999999999995" w:tblpY="1"/>
        <w:tblW w:w="4077.0000000000005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481"/>
        <w:gridCol w:w="596"/>
        <w:tblGridChange w:id="0">
          <w:tblGrid>
            <w:gridCol w:w="3481"/>
            <w:gridCol w:w="596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Incremento al cupo automático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Eliminación de sustancia 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Cambio de unidad (es)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-720"/>
        </w:tabs>
        <w:jc w:val="center"/>
        <w:rPr>
          <w:rFonts w:ascii="Tahoma" w:cs="Tahoma" w:eastAsia="Tahoma" w:hAnsi="Tahom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rtl w:val="0"/>
        </w:rPr>
        <w:br w:type="textWrapping"/>
      </w:r>
    </w:p>
    <w:p w:rsidR="00000000" w:rsidDel="00000000" w:rsidP="00000000" w:rsidRDefault="00000000" w:rsidRPr="00000000" w14:paraId="00000012">
      <w:pPr>
        <w:tabs>
          <w:tab w:val="left" w:leader="none" w:pos="-720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-720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-720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-720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INCREMENTO AL CUPO AUTOMÁTICO:</w:t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DE LA(S) SUSTANCIA(S)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13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689"/>
        <w:gridCol w:w="1417"/>
        <w:gridCol w:w="1418"/>
        <w:gridCol w:w="1417"/>
        <w:gridCol w:w="1672"/>
        <w:tblGridChange w:id="0">
          <w:tblGrid>
            <w:gridCol w:w="2689"/>
            <w:gridCol w:w="1417"/>
            <w:gridCol w:w="1418"/>
            <w:gridCol w:w="1417"/>
            <w:gridCol w:w="16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Sustancia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Cupo automático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Incremento solicitado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Cupo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(c)=(a+b)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Unidad de medida autorizada*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(kg/g/mg/l)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hd w:fill="ffffff" w:val="clear"/>
        <w:jc w:val="both"/>
        <w:rPr>
          <w:rFonts w:ascii="Tahoma" w:cs="Tahoma" w:eastAsia="Tahoma" w:hAnsi="Tahoma"/>
          <w:b w:val="1"/>
          <w:color w:val="0033cc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color w:val="0033cc"/>
          <w:sz w:val="18"/>
          <w:szCs w:val="18"/>
          <w:rtl w:val="0"/>
        </w:rPr>
        <w:t xml:space="preserve">*Esta tabla no aplica para cambio de unidad(es)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rFonts w:ascii="Tahoma" w:cs="Tahoma" w:eastAsia="Tahoma" w:hAnsi="Tahoma"/>
          <w:b w:val="1"/>
          <w:color w:val="0033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JUSTIFICACIÓN  TÉCNICA  PARA INCREMENTO DE CUPO SOLICITADO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621.0" w:type="dxa"/>
        <w:jc w:val="center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3085"/>
        <w:gridCol w:w="4536"/>
        <w:tblGridChange w:id="0">
          <w:tblGrid>
            <w:gridCol w:w="3085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Sustancia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Motivo por el cual solicita el incremento del cupo de la sustancia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24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924"/>
        <w:tblGridChange w:id="0">
          <w:tblGrid>
            <w:gridCol w:w="8924"/>
          </w:tblGrid>
        </w:tblGridChange>
      </w:tblGrid>
      <w:tr>
        <w:trPr>
          <w:cantSplit w:val="0"/>
          <w:trHeight w:val="10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f4e79"/>
                <w:sz w:val="18"/>
                <w:szCs w:val="18"/>
                <w:rtl w:val="0"/>
              </w:rPr>
              <w:t xml:space="preserve">Descripción de la acción química de la(s) sustancia(s) en la elaboración de productos o servicios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Anexos a entregar según la actividad que realiza:</w:t>
      </w:r>
    </w:p>
    <w:p w:rsidR="00000000" w:rsidDel="00000000" w:rsidP="00000000" w:rsidRDefault="00000000" w:rsidRPr="00000000" w14:paraId="00000046">
      <w:pP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Proyección de consumos y/o ventas detallados por mes y por sustancia (hasta la vigencia del cupo).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Listado de posibles clientes.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Licitaciones - adjuntar copia.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Justificaciones médicas y/o científicas detalladas  para el caso de estupefacientes y psicotrópicos.</w:t>
      </w:r>
    </w:p>
    <w:p w:rsidR="00000000" w:rsidDel="00000000" w:rsidP="00000000" w:rsidRDefault="00000000" w:rsidRPr="00000000" w14:paraId="0000004B">
      <w:pP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ELIMINACIÓN DE SUSTANCIAS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podrá realizar únicamente la eliminación de las sustancia(s) con saldo cero, reportado en el sistema SISALEM. </w:t>
      </w:r>
    </w:p>
    <w:p w:rsidR="00000000" w:rsidDel="00000000" w:rsidP="00000000" w:rsidRDefault="00000000" w:rsidRPr="00000000" w14:paraId="00000050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DE LA(S) SUSTANCIA(S)  A ELIMINAR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343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43"/>
        <w:tblGridChange w:id="0">
          <w:tblGrid>
            <w:gridCol w:w="43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Sustancia (s)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SULFATO DE SODIO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CAMBIO DE UNIDADES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cambio de unidades aprobado aplica a partir del mes de enero del período a renovar.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reporte del último mes del periodo que concluye,  lo realizarán con las unidades concedidas.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considera para cambio de unidad, el saldo al 31 de diciembre del periodo que concluye.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DE LA(S) SUSTANCIA(S)</w:t>
      </w:r>
    </w:p>
    <w:p w:rsidR="00000000" w:rsidDel="00000000" w:rsidP="00000000" w:rsidRDefault="00000000" w:rsidRPr="00000000" w14:paraId="00000060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516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119"/>
        <w:gridCol w:w="1696"/>
        <w:gridCol w:w="1701"/>
        <w:tblGridChange w:id="0">
          <w:tblGrid>
            <w:gridCol w:w="3119"/>
            <w:gridCol w:w="1696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Sustancia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Unidad de medida autorizada (kg/g/mg/l)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Unidad de medida solicitada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(kg/g/mg/l)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63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963"/>
        <w:tblGridChange w:id="0">
          <w:tblGrid>
            <w:gridCol w:w="896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Indicar fundamento para el cambio de unidades de la(s) sustancia(s)</w:t>
            </w:r>
          </w:p>
          <w:p w:rsidR="00000000" w:rsidDel="00000000" w:rsidP="00000000" w:rsidRDefault="00000000" w:rsidRPr="00000000" w14:paraId="0000006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NOTA:   </w:t>
      </w:r>
    </w:p>
    <w:p w:rsidR="00000000" w:rsidDel="00000000" w:rsidP="00000000" w:rsidRDefault="00000000" w:rsidRPr="00000000" w14:paraId="0000007C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Artículo 31.- Cupo de sustancias.-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Es la cantidad máxima de sustancias catalogadas sujetas a fiscalización que consta en la autorización otorgada por la autoridad competente, mismo que será renovado de manera anual.</w:t>
      </w:r>
    </w:p>
    <w:p w:rsidR="00000000" w:rsidDel="00000000" w:rsidP="00000000" w:rsidRDefault="00000000" w:rsidRPr="00000000" w14:paraId="0000007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Declaro que la información registrada en el presente formulario es verdadera y puede ser verificada por el Ministerio del Interior.</w:t>
      </w:r>
    </w:p>
    <w:p w:rsidR="00000000" w:rsidDel="00000000" w:rsidP="00000000" w:rsidRDefault="00000000" w:rsidRPr="00000000" w14:paraId="00000081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Atentamente, </w:t>
      </w:r>
    </w:p>
    <w:p w:rsidR="00000000" w:rsidDel="00000000" w:rsidP="00000000" w:rsidRDefault="00000000" w:rsidRPr="00000000" w14:paraId="00000084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f)   Persona Natural o Representante Legal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Nombres y apellidos completos</w:t>
      </w:r>
    </w:p>
    <w:p w:rsidR="00000000" w:rsidDel="00000000" w:rsidP="00000000" w:rsidRDefault="00000000" w:rsidRPr="00000000" w14:paraId="0000008A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CC:</w:t>
      </w:r>
    </w:p>
    <w:p w:rsidR="00000000" w:rsidDel="00000000" w:rsidP="00000000" w:rsidRDefault="00000000" w:rsidRPr="00000000" w14:paraId="0000008B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f)    Representante Técnico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Nombres y apellidos completos</w:t>
      </w:r>
    </w:p>
    <w:p w:rsidR="00000000" w:rsidDel="00000000" w:rsidP="00000000" w:rsidRDefault="00000000" w:rsidRPr="00000000" w14:paraId="00000093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CC:</w:t>
      </w:r>
    </w:p>
    <w:p w:rsidR="00000000" w:rsidDel="00000000" w:rsidP="00000000" w:rsidRDefault="00000000" w:rsidRPr="00000000" w14:paraId="00000094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-509904</wp:posOffset>
          </wp:positionV>
          <wp:extent cx="5686425" cy="514350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6">
      <w:pPr>
        <w:jc w:val="both"/>
        <w:rPr>
          <w:rFonts w:ascii="Tahoma" w:cs="Tahoma" w:eastAsia="Tahoma" w:hAnsi="Tahoma"/>
          <w:sz w:val="4"/>
          <w:szCs w:val="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14"/>
          <w:szCs w:val="14"/>
          <w:rtl w:val="0"/>
        </w:rPr>
        <w:t xml:space="preserve">Reglamento General a la Ley Orgánica de Prevención Integral del fenómeno Socio Económico de las Drogas y de Regulación y Control del Uso de Sustancias Catalogadas Sujetas a Fiscalización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9"/>
      <w:tblpPr w:leftFromText="180" w:rightFromText="180" w:topFromText="0" w:bottomFromText="0" w:vertAnchor="page" w:horzAnchor="page" w:tblpX="1287" w:tblpY="721"/>
      <w:tblW w:w="964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025"/>
      <w:gridCol w:w="3909"/>
      <w:gridCol w:w="2714"/>
      <w:tblGridChange w:id="0">
        <w:tblGrid>
          <w:gridCol w:w="3025"/>
          <w:gridCol w:w="3909"/>
          <w:gridCol w:w="2714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FORMULARIO PARA MODIFICACIÓN RENOVACIÓN DE CALIFICACIÓN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FO-DCSC-UE-029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1211" w:hanging="360"/>
      </w:pPr>
      <w:rPr>
        <w:rFonts w:ascii="Tahoma" w:cs="Tahoma" w:eastAsia="Tahoma" w:hAnsi="Tahoma"/>
        <w:b w:val="0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3240" w:hanging="144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5040" w:hanging="216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6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xfJEyQRDhdl8yiJkQEscQQVBA==">CgMxLjAyCGguZ2pkZ3hzMgppZC4zMGowemxsMgppZC4xZm9iOXRlOAByITFmSXAxWUtOZjBiWXBHVG1wSXpoMnVkZkpYcmVXSTdaRw==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